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19383574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66C5A821" w:rsidR="008A332F" w:rsidRDefault="005E3B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64AEBFD" w:rsidR="008A332F" w:rsidRPr="008A73AC" w:rsidRDefault="008C6721" w:rsidP="008A73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06A64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06A64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1596B4" w:rsidR="00CA516B" w:rsidRPr="00071C70" w:rsidRDefault="007111A9" w:rsidP="0071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System powiadamiania o wprowadzeniu do obrotu żywności prozdrowotnej (SPOŻ)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04EAFB" w:rsidR="00CA516B" w:rsidRPr="00071C70" w:rsidRDefault="00134D2B" w:rsidP="006822BC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1AB5FCC" w:rsidR="00CA516B" w:rsidRPr="00071C70" w:rsidRDefault="0018042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5F4CDC" w:rsidR="00CA516B" w:rsidRPr="00071C70" w:rsidRDefault="00B01983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6BB62" w14:textId="587FAF02" w:rsidR="00277E09" w:rsidRPr="00071C70" w:rsidRDefault="00F3756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W </w:t>
            </w:r>
            <w:r w:rsidR="00277E09" w:rsidRPr="00071C70">
              <w:rPr>
                <w:rFonts w:ascii="Arial" w:hAnsi="Arial" w:cs="Arial"/>
                <w:color w:val="000000" w:themeColor="text1"/>
              </w:rPr>
              <w:t>ramach współfinansowania: budżet państwa – część</w:t>
            </w:r>
          </w:p>
          <w:p w14:paraId="55582688" w14:textId="3569CCF9" w:rsidR="00CA516B" w:rsidRPr="00071C70" w:rsidRDefault="00277E0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budżetowa nr 46 – Zdrowie. W ramach finansowania ze środków UE: Program Operacyjny Polska Cyfrowa, Działanie 2.1 "Wysoka dostępność i jakość e-usług publicznych"</w:t>
            </w:r>
            <w:r w:rsidR="00F37569" w:rsidRPr="00071C70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C22F63" w:rsidR="00CA516B" w:rsidRPr="00071C70" w:rsidRDefault="00AD3C44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ABC9200" w:rsidR="005212C8" w:rsidRPr="00071C70" w:rsidRDefault="00C90A16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E92F1" w14:textId="070F4137" w:rsidR="00C90A16" w:rsidRPr="00071C70" w:rsidRDefault="00C90A16" w:rsidP="00071C70">
            <w:pPr>
              <w:spacing w:after="0" w:line="25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rozpoczęcia realizacji projektu: 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15</w:t>
            </w:r>
            <w:r w:rsidRPr="00071C70">
              <w:rPr>
                <w:rFonts w:ascii="Arial" w:hAnsi="Arial" w:cs="Arial"/>
                <w:color w:val="000000" w:themeColor="text1"/>
              </w:rPr>
              <w:t>.07.20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20</w:t>
            </w:r>
          </w:p>
          <w:p w14:paraId="55CE9679" w14:textId="6FF13BD2" w:rsidR="00CA516B" w:rsidRPr="00071C70" w:rsidRDefault="00C90A16" w:rsidP="00071C70">
            <w:pPr>
              <w:spacing w:after="0" w:line="25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zakończenia realizacji projektu : 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14</w:t>
            </w:r>
            <w:r w:rsidRPr="00071C70">
              <w:rPr>
                <w:rFonts w:ascii="Arial" w:hAnsi="Arial" w:cs="Arial"/>
                <w:color w:val="000000" w:themeColor="text1"/>
              </w:rPr>
              <w:t>.0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7</w:t>
            </w:r>
            <w:r w:rsidRPr="00071C70">
              <w:rPr>
                <w:rFonts w:ascii="Arial" w:hAnsi="Arial" w:cs="Arial"/>
                <w:color w:val="000000" w:themeColor="text1"/>
              </w:rPr>
              <w:t>.202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</w:tbl>
    <w:p w14:paraId="2E35A4F1" w14:textId="534C1509" w:rsidR="00BB3748" w:rsidRDefault="00BB3748">
      <w:pPr>
        <w:rPr>
          <w:rFonts w:ascii="Arial" w:eastAsiaTheme="majorEastAsia" w:hAnsi="Arial" w:cs="Arial"/>
          <w:b/>
          <w:sz w:val="24"/>
          <w:szCs w:val="24"/>
        </w:rPr>
      </w:pPr>
    </w:p>
    <w:p w14:paraId="30071234" w14:textId="6C69B44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74B327B" w:rsidR="004C1D48" w:rsidRPr="00C1647B" w:rsidRDefault="00DC540E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C1647B">
        <w:rPr>
          <w:rFonts w:ascii="Arial" w:hAnsi="Arial" w:cs="Arial"/>
          <w:color w:val="000000" w:themeColor="text1"/>
          <w:sz w:val="22"/>
          <w:szCs w:val="22"/>
        </w:rPr>
        <w:t>Projekt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1C70" w:rsidRPr="00F06E56" w14:paraId="59735F91" w14:textId="77777777" w:rsidTr="00795AFA">
        <w:tc>
          <w:tcPr>
            <w:tcW w:w="2972" w:type="dxa"/>
          </w:tcPr>
          <w:p w14:paraId="077C8D26" w14:textId="0398847A" w:rsidR="00907F6D" w:rsidRPr="00F06E56" w:rsidRDefault="00D30D48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Ok. </w:t>
            </w:r>
            <w:r w:rsidR="007B77B9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8,41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AC79DA7" w14:textId="64C5B027" w:rsidR="00071880" w:rsidRPr="00F06E56" w:rsidRDefault="005548F2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0A5435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0,22%</w:t>
            </w:r>
          </w:p>
          <w:p w14:paraId="4929DAC9" w14:textId="142E615C" w:rsidR="00907F6D" w:rsidRPr="00F06E56" w:rsidRDefault="005548F2" w:rsidP="006B5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C50D68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24E58138" w:rsidR="00907F6D" w:rsidRPr="00F06E56" w:rsidRDefault="00F74246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  <w:r w:rsidR="003702B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581AAA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3A82943F" w:rsidR="008A73AC" w:rsidRDefault="008A73AC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E7DF8EC" w14:textId="77777777" w:rsidR="008A73AC" w:rsidRDefault="008A73AC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B5EDC" w:rsidRPr="00071C70" w14:paraId="46A49B59" w14:textId="77777777" w:rsidTr="006B5117">
        <w:tc>
          <w:tcPr>
            <w:tcW w:w="2127" w:type="dxa"/>
          </w:tcPr>
          <w:p w14:paraId="206BBDB4" w14:textId="0E823606" w:rsidR="002026C9" w:rsidRPr="00F06E56" w:rsidRDefault="006E06FE" w:rsidP="00AC44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wsparcie GIS w</w:t>
            </w:r>
            <w:r w:rsidR="00AC44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5F9" w14:textId="7F75E084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0A9FB83" w14:textId="6E883473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7422CCAB" w14:textId="59E4EB5C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7612B487" w14:textId="6E89E0D9" w:rsidR="002026C9" w:rsidRPr="00F06E56" w:rsidRDefault="00D23C2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946A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(Trwają prace nad opracowaniem dokumentacji SIWZ)</w:t>
            </w:r>
          </w:p>
        </w:tc>
      </w:tr>
      <w:tr w:rsidR="001B5EDC" w:rsidRPr="00071C70" w14:paraId="702C3897" w14:textId="77777777" w:rsidTr="006B5117">
        <w:tc>
          <w:tcPr>
            <w:tcW w:w="2127" w:type="dxa"/>
          </w:tcPr>
          <w:p w14:paraId="7E72D34F" w14:textId="445F2AF6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wykonanie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7669" w14:textId="0CA7E03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CC8659A" w14:textId="298D28C9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914" w:type="dxa"/>
          </w:tcPr>
          <w:p w14:paraId="4EEE750C" w14:textId="446B0D2A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2D0D3EBA" w14:textId="3BF79B36" w:rsidR="002026C9" w:rsidRPr="00F06E56" w:rsidRDefault="00D23C2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946A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(Trwają prace nad opracowaniem dokumentacji SIWZ)</w:t>
            </w:r>
          </w:p>
        </w:tc>
      </w:tr>
      <w:tr w:rsidR="001B5EDC" w:rsidRPr="00071C70" w14:paraId="38219FC9" w14:textId="77777777" w:rsidTr="006B5117">
        <w:tc>
          <w:tcPr>
            <w:tcW w:w="2127" w:type="dxa"/>
          </w:tcPr>
          <w:p w14:paraId="409CAC43" w14:textId="01D0502A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Badania preferencji użytkowników,</w:t>
            </w:r>
            <w:r w:rsidR="00F06E56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makiet UX i grafiki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6799" w14:textId="1F506BE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3582995" w14:textId="26B9BB3D" w:rsidR="00DD1E33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383FFA2B" w14:textId="3743F06B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96D1093" w14:textId="1F5B68AB" w:rsidR="002026C9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E6319B5" w14:textId="77777777" w:rsidTr="006B5117">
        <w:tc>
          <w:tcPr>
            <w:tcW w:w="2127" w:type="dxa"/>
          </w:tcPr>
          <w:p w14:paraId="5830A1B4" w14:textId="15A280E5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AI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48E3" w14:textId="6B47536E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4D105C8" w14:textId="4377EACA" w:rsidR="00122251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1914" w:type="dxa"/>
          </w:tcPr>
          <w:p w14:paraId="01D790EB" w14:textId="32065051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5DF30E2" w14:textId="0A75B2A7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4355C259" w14:textId="77777777" w:rsidTr="006B5117">
        <w:tc>
          <w:tcPr>
            <w:tcW w:w="2127" w:type="dxa"/>
          </w:tcPr>
          <w:p w14:paraId="5C513438" w14:textId="3E41B291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dla pozostałych modułów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1D2A" w14:textId="2A5881BF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3649F69" w14:textId="48E70120" w:rsidR="00122251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644601A" w14:textId="1E07F31D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1827A0EF" w14:textId="5A349734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467BE35" w14:textId="77777777" w:rsidTr="006B5117">
        <w:tc>
          <w:tcPr>
            <w:tcW w:w="2127" w:type="dxa"/>
          </w:tcPr>
          <w:p w14:paraId="30B3554F" w14:textId="557A475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produkcyjnego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7E0E" w14:textId="0982699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7DCCE6E" w14:textId="694E634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5CE828CD" w14:textId="3ABA742F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22E51" w14:textId="4C44A03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C6AC78D" w14:textId="77777777" w:rsidTr="006B5117">
        <w:tc>
          <w:tcPr>
            <w:tcW w:w="2127" w:type="dxa"/>
          </w:tcPr>
          <w:p w14:paraId="0FD06031" w14:textId="5D74B40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E925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(=350)</w:t>
            </w:r>
          </w:p>
          <w:p w14:paraId="14F42B40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 (=300)</w:t>
            </w:r>
          </w:p>
          <w:p w14:paraId="4806E355" w14:textId="762C04F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 (=50)</w:t>
            </w:r>
          </w:p>
        </w:tc>
        <w:tc>
          <w:tcPr>
            <w:tcW w:w="1289" w:type="dxa"/>
          </w:tcPr>
          <w:p w14:paraId="4B4C222C" w14:textId="4207627A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42C7DA36" w14:textId="5EE964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80B167F" w14:textId="644AB2F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65098203" w14:textId="77777777" w:rsidTr="006B5117">
        <w:tc>
          <w:tcPr>
            <w:tcW w:w="2127" w:type="dxa"/>
          </w:tcPr>
          <w:p w14:paraId="2743139F" w14:textId="313B8F9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usługi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8B9C" w14:textId="57F2250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D7CB922" w14:textId="056E54FD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64D748E8" w14:textId="70E01097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214DA5A" w14:textId="3CD07A3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2CBB64C" w14:textId="77777777" w:rsidTr="006B5117">
        <w:tc>
          <w:tcPr>
            <w:tcW w:w="2127" w:type="dxa"/>
          </w:tcPr>
          <w:p w14:paraId="797A6A29" w14:textId="5E5FD87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9EED" w14:textId="7F82F54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EA8EA01" w14:textId="533F0FF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06-2023</w:t>
            </w:r>
          </w:p>
        </w:tc>
        <w:tc>
          <w:tcPr>
            <w:tcW w:w="1914" w:type="dxa"/>
          </w:tcPr>
          <w:p w14:paraId="5125DE29" w14:textId="4B0A9AC3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4C8B4C5" w14:textId="684485BD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3B7D5859" w14:textId="77777777" w:rsidTr="006B5117">
        <w:tc>
          <w:tcPr>
            <w:tcW w:w="2127" w:type="dxa"/>
          </w:tcPr>
          <w:p w14:paraId="683E121D" w14:textId="5479018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promocji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CBA9" w14:textId="5E09658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A16E62B" w14:textId="218BB69E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07-2023</w:t>
            </w:r>
          </w:p>
        </w:tc>
        <w:tc>
          <w:tcPr>
            <w:tcW w:w="1914" w:type="dxa"/>
          </w:tcPr>
          <w:p w14:paraId="7B88B5F1" w14:textId="60B9980A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6B8D2D7" w14:textId="2A9E6930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F06E56" w14:paraId="441AB6CF" w14:textId="77777777" w:rsidTr="006B5117">
        <w:tc>
          <w:tcPr>
            <w:tcW w:w="2127" w:type="dxa"/>
          </w:tcPr>
          <w:p w14:paraId="1DC0CFEB" w14:textId="31713AC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realizacji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080D" w14:textId="4D89A379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(=1)</w:t>
            </w:r>
          </w:p>
          <w:p w14:paraId="521AE128" w14:textId="34512B9B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(=1)</w:t>
            </w:r>
          </w:p>
          <w:p w14:paraId="33803578" w14:textId="6668B905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 (=8000)</w:t>
            </w:r>
          </w:p>
          <w:p w14:paraId="08F51E73" w14:textId="5A8EF11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(=1)</w:t>
            </w:r>
          </w:p>
        </w:tc>
        <w:tc>
          <w:tcPr>
            <w:tcW w:w="1289" w:type="dxa"/>
          </w:tcPr>
          <w:p w14:paraId="3E9DDE78" w14:textId="37E56C0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07-2023</w:t>
            </w:r>
          </w:p>
        </w:tc>
        <w:tc>
          <w:tcPr>
            <w:tcW w:w="1914" w:type="dxa"/>
          </w:tcPr>
          <w:p w14:paraId="496C8061" w14:textId="038357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6285DA75" w14:textId="026EFEF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696280B" w14:textId="77777777" w:rsidR="008A73AC" w:rsidRDefault="008A73A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A3EDA4B" w14:textId="77777777" w:rsidR="008A73AC" w:rsidRDefault="008A73A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298B260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2D59A26" w:rsidR="00047D9D" w:rsidRPr="00141A92" w:rsidRDefault="008C732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D269E" w:rsidRPr="00071C70" w14:paraId="76647581" w14:textId="77777777" w:rsidTr="00047D9D">
        <w:tc>
          <w:tcPr>
            <w:tcW w:w="2545" w:type="dxa"/>
          </w:tcPr>
          <w:p w14:paraId="5040D4D0" w14:textId="2A02228A" w:rsidR="004D269E" w:rsidRPr="00071C70" w:rsidRDefault="003C7A59" w:rsidP="00D966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23114B7" w14:textId="5B1BF26C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0FF49291" w14:textId="2DCC0575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A76F3C" w14:textId="1343EC96" w:rsidR="004D269E" w:rsidRPr="00071C70" w:rsidRDefault="00D350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1663313C" w14:textId="06FA384B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26F5A7FF" w14:textId="77777777" w:rsidTr="00047D9D">
        <w:tc>
          <w:tcPr>
            <w:tcW w:w="2545" w:type="dxa"/>
          </w:tcPr>
          <w:p w14:paraId="39BC7C28" w14:textId="310FF7DA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uruchomionych systemów teleinformatycznych w podmiotach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EF3E486" w14:textId="7D3C49AF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3D92A1ED" w14:textId="65DF481A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D5AD23F" w14:textId="099F1C1D" w:rsidR="004D269E" w:rsidRPr="00071C70" w:rsidRDefault="00D350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604089DC" w14:textId="41DE0AF3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01C22D83" w14:textId="77777777" w:rsidTr="00047D9D">
        <w:tc>
          <w:tcPr>
            <w:tcW w:w="2545" w:type="dxa"/>
          </w:tcPr>
          <w:p w14:paraId="39473157" w14:textId="59AC173E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B3CAA86" w14:textId="105FDE04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6166C14D" w14:textId="2004282B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1701" w:type="dxa"/>
          </w:tcPr>
          <w:p w14:paraId="3E129318" w14:textId="38063CA8" w:rsidR="004D269E" w:rsidRPr="00071C70" w:rsidRDefault="00D350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69A1DDAD" w14:textId="5A85AEE5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70CC31B7" w14:textId="77777777" w:rsidTr="00047D9D">
        <w:tc>
          <w:tcPr>
            <w:tcW w:w="2545" w:type="dxa"/>
          </w:tcPr>
          <w:p w14:paraId="13D7FBB0" w14:textId="28B3F182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5FDF4A6E" w14:textId="2C758643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14374058" w14:textId="2ABC3140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14:paraId="26AC3667" w14:textId="6251D4BE" w:rsidR="005B7464" w:rsidRPr="00071C70" w:rsidRDefault="00D350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37AFDD5E" w14:textId="10BA2152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65CC0729" w14:textId="77777777" w:rsidTr="00047D9D">
        <w:tc>
          <w:tcPr>
            <w:tcW w:w="2545" w:type="dxa"/>
          </w:tcPr>
          <w:p w14:paraId="54DF1B25" w14:textId="49D6E67C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E214FA2" w14:textId="7EFD9A0B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2EF8B0A0" w14:textId="547071EB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59CBB80" w14:textId="785B6373" w:rsidR="005B7464" w:rsidRPr="00071C70" w:rsidRDefault="00D350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38D1DB04" w14:textId="78CF1C2F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C47D8C" w:rsidRPr="00071C70" w14:paraId="601487B8" w14:textId="77777777" w:rsidTr="00047D9D">
        <w:tc>
          <w:tcPr>
            <w:tcW w:w="2545" w:type="dxa"/>
          </w:tcPr>
          <w:p w14:paraId="72974B02" w14:textId="417FCBE1" w:rsidR="00C47D8C" w:rsidRPr="00071C70" w:rsidRDefault="003C7A59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załatwionych spraw poprzez udostępnioną on-line usług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publiczną</w:t>
            </w:r>
          </w:p>
        </w:tc>
        <w:tc>
          <w:tcPr>
            <w:tcW w:w="1278" w:type="dxa"/>
          </w:tcPr>
          <w:p w14:paraId="312576E0" w14:textId="1C26BF9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54E3FA1" w14:textId="5C7D830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8000</w:t>
            </w:r>
          </w:p>
        </w:tc>
        <w:tc>
          <w:tcPr>
            <w:tcW w:w="1701" w:type="dxa"/>
          </w:tcPr>
          <w:p w14:paraId="25EBA535" w14:textId="78E00AE0" w:rsidR="00C47D8C" w:rsidRPr="00071C70" w:rsidRDefault="00962DC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07.2024</w:t>
            </w:r>
          </w:p>
        </w:tc>
        <w:tc>
          <w:tcPr>
            <w:tcW w:w="2268" w:type="dxa"/>
          </w:tcPr>
          <w:p w14:paraId="5C2DB20D" w14:textId="5619BAED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C47A4" w:rsidRPr="00071C70" w14:paraId="10AF32EC" w14:textId="77777777" w:rsidTr="00047D9D">
        <w:tc>
          <w:tcPr>
            <w:tcW w:w="2545" w:type="dxa"/>
          </w:tcPr>
          <w:p w14:paraId="5F5D85E5" w14:textId="44234F3D" w:rsidR="003C47A4" w:rsidRPr="00071C70" w:rsidRDefault="003C7A59" w:rsidP="00C47D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7. </w:t>
            </w:r>
            <w:r w:rsidR="00847A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1E67CC8" w14:textId="6B54A51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24DCF49" w14:textId="294F775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E15FA10" w14:textId="537AE4B7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4C2709C9" w14:textId="68A33A92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F42B192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52A08447" w14:textId="5FEFD81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066D88A5" w14:textId="77777777" w:rsidTr="00517F12">
        <w:tc>
          <w:tcPr>
            <w:tcW w:w="2937" w:type="dxa"/>
          </w:tcPr>
          <w:p w14:paraId="21262D83" w14:textId="0B0FA822" w:rsidR="007D38BD" w:rsidRPr="00071C70" w:rsidRDefault="00AD16FE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Powiadamianie o wprowadzeniu do obrotu żywności prozdrowotnej</w:t>
            </w:r>
          </w:p>
        </w:tc>
        <w:tc>
          <w:tcPr>
            <w:tcW w:w="1169" w:type="dxa"/>
          </w:tcPr>
          <w:p w14:paraId="016C9765" w14:textId="65DD0394" w:rsidR="007D38BD" w:rsidRPr="00071C70" w:rsidRDefault="00D308A9" w:rsidP="00672B5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134" w:type="dxa"/>
          </w:tcPr>
          <w:p w14:paraId="3DF8A089" w14:textId="29502AB6" w:rsidR="007D38BD" w:rsidRPr="00071C70" w:rsidRDefault="008C7325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44BAFB6F" w:rsidR="007D38BD" w:rsidRPr="00071C70" w:rsidRDefault="00C133C1" w:rsidP="00D308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153EA8F3" w14:textId="77777777" w:rsidTr="00C6751B">
        <w:tc>
          <w:tcPr>
            <w:tcW w:w="2937" w:type="dxa"/>
          </w:tcPr>
          <w:p w14:paraId="46265E90" w14:textId="7907A995" w:rsidR="00C6751B" w:rsidRPr="00071C70" w:rsidRDefault="00EF411B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D7C5935" w14:textId="38F0D21A" w:rsidR="00C6751B" w:rsidRPr="00071C70" w:rsidRDefault="008C7325" w:rsidP="00EF411B">
            <w:pPr>
              <w:ind w:left="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09B91128" w:rsidR="00C6751B" w:rsidRPr="00071C70" w:rsidRDefault="008C7325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1BD3D99D" w:rsidR="00C6751B" w:rsidRPr="00071C70" w:rsidRDefault="008C7325" w:rsidP="00A44E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4DD" w:rsidRPr="00071C70" w14:paraId="3FB4F1A2" w14:textId="77777777" w:rsidTr="00E7413A">
        <w:tc>
          <w:tcPr>
            <w:tcW w:w="2547" w:type="dxa"/>
          </w:tcPr>
          <w:p w14:paraId="75BC059D" w14:textId="629365CB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analizy powiadomień (SAP)</w:t>
            </w:r>
          </w:p>
        </w:tc>
        <w:tc>
          <w:tcPr>
            <w:tcW w:w="1701" w:type="dxa"/>
          </w:tcPr>
          <w:p w14:paraId="49305C49" w14:textId="1D2E2135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843" w:type="dxa"/>
          </w:tcPr>
          <w:p w14:paraId="5F5126EC" w14:textId="2DE5279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267D727" w14:textId="1DFD225A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Centralna Ewidencja i Informacja o Działalności Gospodarczej (CEIDG)</w:t>
            </w:r>
          </w:p>
          <w:p w14:paraId="74B5CA28" w14:textId="75186058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korzystanie- uzupełnianie danych rejestrującego się przedsiębiorcy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7D195C4F" w14:textId="6CE355DD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7172505D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9CE7AB0" w14:textId="096502DF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Rejestr urzędowy podziału terytorialnego Polski (TERYT)</w:t>
            </w:r>
          </w:p>
          <w:p w14:paraId="71458794" w14:textId="7F02217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korzystanie- identyfikacja terytorialna 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składającego powiadomienie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10EC5629" w14:textId="34831C81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136F2A36" w14:textId="78D14FB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035ED04" w14:textId="5C801001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Krajowy Rejestr Sądowy (KRS)</w:t>
            </w:r>
          </w:p>
          <w:p w14:paraId="4FD27D75" w14:textId="3DFAEE6B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korzystanie- uzupełnianie danych rejestrującego się przedsiębiorcy.</w:t>
            </w:r>
          </w:p>
          <w:p w14:paraId="38B293E9" w14:textId="37374391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2F2FEC88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59CB70A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REGON</w:t>
            </w:r>
          </w:p>
          <w:p w14:paraId="7826D358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 korzystanie- uzupełnianie danych rejestrującego się przedsiębiorcy.</w:t>
            </w:r>
          </w:p>
          <w:p w14:paraId="35D6C283" w14:textId="3E9C0E2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  <w:p w14:paraId="0486D993" w14:textId="318E2965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78147EBD" w14:textId="77777777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Krajowy Węzeł Identyfikacji Elektronicznej</w:t>
            </w:r>
          </w:p>
          <w:p w14:paraId="454F0ED2" w14:textId="72CEB77C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Opis zależności: korzystanie- 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identyfikacja użytkowników.</w:t>
            </w:r>
          </w:p>
          <w:p w14:paraId="04DCE356" w14:textId="3FC9F889" w:rsidR="00123599" w:rsidRPr="00E7413A" w:rsidRDefault="00123599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 Modelowanie biznesowe.</w:t>
            </w:r>
          </w:p>
          <w:p w14:paraId="6309AF82" w14:textId="77777777" w:rsidR="00123599" w:rsidRPr="00E7413A" w:rsidRDefault="00123599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B295EFF" w14:textId="07707556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Nazwa systemu lub rejestru: dane.gov.pl</w:t>
            </w:r>
          </w:p>
          <w:p w14:paraId="1D2E1150" w14:textId="12B39784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udostępnianie danych na temat żywności prozdrowotnej.</w:t>
            </w:r>
          </w:p>
          <w:p w14:paraId="59EC2469" w14:textId="30AF0562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4E59DBE6" w14:textId="77777777" w:rsidR="00412A56" w:rsidRPr="00E7413A" w:rsidRDefault="00412A56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8DD6BA2" w14:textId="009F72C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N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az</w:t>
            </w: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wa systemu lub rejestru: dostawcy płatności elektronicznych</w:t>
            </w:r>
          </w:p>
          <w:p w14:paraId="0176E399" w14:textId="2F205809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E7413A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korzystanie- umożliwienie złożenia opłaty.</w:t>
            </w:r>
          </w:p>
          <w:p w14:paraId="41B4F0D2" w14:textId="66D27463" w:rsidR="00123599" w:rsidRPr="00E7413A" w:rsidRDefault="00412A56" w:rsidP="0012359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  <w:p w14:paraId="23BEC15A" w14:textId="7777777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90C8A59" w14:textId="192A5503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Nazwa systemu lub rejestru: Publiczny 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R</w:t>
            </w: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ejestr Żywności Prozdrowotnej</w:t>
            </w:r>
          </w:p>
          <w:p w14:paraId="21245F36" w14:textId="6C4CD0B7" w:rsidR="00412A56" w:rsidRPr="00E7413A" w:rsidRDefault="00412A56" w:rsidP="00412A5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Opis zależności:</w:t>
            </w:r>
            <w:r w:rsidR="00C8758D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udostępnianie danych na temat żywności prozdrowotnej.</w:t>
            </w:r>
          </w:p>
          <w:p w14:paraId="474F13BC" w14:textId="06DE2558" w:rsidR="00412A56" w:rsidRPr="00E7413A" w:rsidRDefault="00412A56" w:rsidP="00412A56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Aktualny status integracji</w:t>
            </w:r>
            <w:r w:rsidR="00CB715E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  <w:r w:rsidR="00123599"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Modelowanie biznesowe.</w:t>
            </w:r>
          </w:p>
        </w:tc>
      </w:tr>
      <w:tr w:rsidR="007F34DD" w:rsidRPr="00071C70" w14:paraId="4079385F" w14:textId="77777777" w:rsidTr="00E7413A">
        <w:tc>
          <w:tcPr>
            <w:tcW w:w="2547" w:type="dxa"/>
          </w:tcPr>
          <w:p w14:paraId="304700DB" w14:textId="7ADFCF4A" w:rsidR="007F34DD" w:rsidRPr="00071C70" w:rsidRDefault="007F34D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Narzędzia do przeszukiwania publicznego rejestru żywności objętej obowiązkiem powiadamiania (PR)</w:t>
            </w:r>
          </w:p>
        </w:tc>
        <w:tc>
          <w:tcPr>
            <w:tcW w:w="1701" w:type="dxa"/>
          </w:tcPr>
          <w:p w14:paraId="2EF89525" w14:textId="0638D49E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843" w:type="dxa"/>
          </w:tcPr>
          <w:p w14:paraId="117E8024" w14:textId="4B2DDC7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3D06946F" w14:textId="42DA149D" w:rsidR="007F34DD" w:rsidRPr="00E7413A" w:rsidRDefault="00C8758D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Nie dotyczy</w:t>
            </w:r>
          </w:p>
        </w:tc>
      </w:tr>
      <w:tr w:rsidR="007F34DD" w:rsidRPr="00071C70" w14:paraId="5979BE98" w14:textId="77777777" w:rsidTr="00E7413A">
        <w:tc>
          <w:tcPr>
            <w:tcW w:w="2547" w:type="dxa"/>
          </w:tcPr>
          <w:p w14:paraId="4172A5FE" w14:textId="33CCA862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Publiczne API rejestru żywności objętej obowiązkiem powiadamiania (PA)</w:t>
            </w:r>
          </w:p>
        </w:tc>
        <w:tc>
          <w:tcPr>
            <w:tcW w:w="1701" w:type="dxa"/>
          </w:tcPr>
          <w:p w14:paraId="6656D677" w14:textId="0DBCA2DB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843" w:type="dxa"/>
          </w:tcPr>
          <w:p w14:paraId="2C6E813A" w14:textId="3970D6E5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26605A6D" w14:textId="457DEFC0" w:rsidR="007F34DD" w:rsidRPr="00E7413A" w:rsidRDefault="00C8758D" w:rsidP="00D251F1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413A">
              <w:rPr>
                <w:rFonts w:ascii="Arial" w:hAnsi="Arial" w:cs="Arial"/>
                <w:color w:val="000000" w:themeColor="text1"/>
                <w:sz w:val="16"/>
                <w:szCs w:val="16"/>
              </w:rPr>
              <w:t>Nie dotyczy</w:t>
            </w:r>
          </w:p>
        </w:tc>
      </w:tr>
    </w:tbl>
    <w:p w14:paraId="609ECA7F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AC8CEEF" w14:textId="6153A2F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29F2AFFB" w14:textId="77777777" w:rsidTr="00E7413A">
        <w:tc>
          <w:tcPr>
            <w:tcW w:w="3265" w:type="dxa"/>
          </w:tcPr>
          <w:p w14:paraId="282C06E0" w14:textId="273FF9DA" w:rsidR="0060779A" w:rsidRPr="00071C70" w:rsidRDefault="00494321" w:rsidP="00672B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Przedłużająca się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procedura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przetargowa na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3C1080F0" w14:textId="22748CE8" w:rsidR="0060779A" w:rsidRPr="00071C70" w:rsidRDefault="00CA304F" w:rsidP="006077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02F4E8D" w14:textId="577BF4AC" w:rsidR="0060779A" w:rsidRPr="00071C70" w:rsidRDefault="00521CD7" w:rsidP="0060779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131A38F9" w14:textId="77777777" w:rsidR="0060779A" w:rsidRPr="00A323A4" w:rsidRDefault="00E7413A" w:rsidP="00E741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stosowanie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spójnych i niebudzących wątpliwości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zapisów Opisu Przedmiotu Zamówienia.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Szybka reakcja na pojawiające się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zapytania do dokumentacji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przetargowej.</w:t>
            </w:r>
          </w:p>
          <w:p w14:paraId="34F8A59B" w14:textId="5E4795FC" w:rsidR="002E1E78" w:rsidRPr="00A323A4" w:rsidRDefault="002E1E78" w:rsidP="002E1E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zmniejszenie prawdopodobieństwa-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terminowa realizacja zamówień</w:t>
            </w:r>
            <w:r w:rsidR="00A323A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11E56F7C" w14:textId="544DDA4D" w:rsidR="00A323A4" w:rsidRPr="00A323A4" w:rsidRDefault="00A323A4" w:rsidP="00A323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1B126E00" w14:textId="77777777" w:rsidTr="00071C70">
        <w:tc>
          <w:tcPr>
            <w:tcW w:w="3265" w:type="dxa"/>
          </w:tcPr>
          <w:p w14:paraId="57DD67B7" w14:textId="41F601ED" w:rsidR="0060779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niezdolnego do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wykonania 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63E0C181" w14:textId="56FCFEA6" w:rsidR="0060779A" w:rsidRPr="00071C70" w:rsidRDefault="00CA304F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6C4C87" w14:textId="5DD48CFF" w:rsidR="0060779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FBCBF87" w14:textId="77777777" w:rsidR="0060779A" w:rsidRPr="00A323A4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stosowanie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kryteriów oceny ofert uwzględniających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doświadczenie i kwalifikacje podmiotów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94321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ubiegających się o realizację prac.</w:t>
            </w:r>
          </w:p>
          <w:p w14:paraId="47E90314" w14:textId="429D6024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wybór wykonawców o kompetencjach właściwych do realizacji zamówień.</w:t>
            </w:r>
          </w:p>
          <w:p w14:paraId="15C0A8A5" w14:textId="5DDE0C75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1611DE05" w14:textId="77777777" w:rsidTr="00071C70">
        <w:tc>
          <w:tcPr>
            <w:tcW w:w="3265" w:type="dxa"/>
          </w:tcPr>
          <w:p w14:paraId="7F237D9B" w14:textId="56DC2FA3" w:rsidR="00093028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 wykonawcy</w:t>
            </w:r>
          </w:p>
        </w:tc>
        <w:tc>
          <w:tcPr>
            <w:tcW w:w="1697" w:type="dxa"/>
          </w:tcPr>
          <w:p w14:paraId="0F969D38" w14:textId="7A975B58" w:rsidR="00093028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201A3534" w14:textId="19C2F21F" w:rsidR="00093028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B261D98" w14:textId="77777777" w:rsidR="00093028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umieszczenie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umowie z wykonawcą postanowień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dotyczących kary umownej za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nieterminową realizację przedmiotu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umowy oraz bieżąca kontrola zgodności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prac z harmonogramem.</w:t>
            </w:r>
          </w:p>
          <w:p w14:paraId="6D74323A" w14:textId="3933F7FA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zwiększenie motywacji wykonawców do terminowej realizacji zamówień.</w:t>
            </w:r>
          </w:p>
          <w:p w14:paraId="2877C6C9" w14:textId="5D209245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7976A7DD" w14:textId="77777777" w:rsidTr="00071C70">
        <w:tc>
          <w:tcPr>
            <w:tcW w:w="3265" w:type="dxa"/>
          </w:tcPr>
          <w:p w14:paraId="164C5646" w14:textId="7C4DB9CB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Zamawiającego</w:t>
            </w:r>
          </w:p>
        </w:tc>
        <w:tc>
          <w:tcPr>
            <w:tcW w:w="1697" w:type="dxa"/>
          </w:tcPr>
          <w:p w14:paraId="09967B59" w14:textId="595D69CA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6D06B67C" w14:textId="10DBDF55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11817E4E" w14:textId="77777777" w:rsidR="000D385F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posiadanie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odpowiedniej struktury organizacyjnej po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stronie Zamawiającego. Ustalenie w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harmonogramie terminów działań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Zamawiającego. Opracowanie dla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Zespołu Projektowego skutecznych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narzędzi zarządzania Projektem (system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zarządzania projektem, regulaminy,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D385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struktura organizacyjna, procedury).</w:t>
            </w:r>
          </w:p>
          <w:p w14:paraId="63AF12BE" w14:textId="6E9514C4" w:rsid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działanie w oparciu o procedury uwzględniające uwarunkowania.</w:t>
            </w:r>
          </w:p>
          <w:p w14:paraId="359392E2" w14:textId="047041EA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lastRenderedPageBreak/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58ECCB73" w14:textId="77777777" w:rsidTr="00071C70">
        <w:tc>
          <w:tcPr>
            <w:tcW w:w="3265" w:type="dxa"/>
          </w:tcPr>
          <w:p w14:paraId="075320AD" w14:textId="36DC949D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Wystąpieni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błędów systemu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wykrytych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podczas testów</w:t>
            </w:r>
          </w:p>
        </w:tc>
        <w:tc>
          <w:tcPr>
            <w:tcW w:w="1697" w:type="dxa"/>
          </w:tcPr>
          <w:p w14:paraId="1B1930E4" w14:textId="22812F45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0755C77" w14:textId="5369B70B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7FCCF294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umieszczenie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umowie z wykonawcą postanowień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dotyczących gwarancji oraz</w:t>
            </w:r>
            <w:r w:rsidR="00396C84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obowiązania do terminowego usuwania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wad systemu pod rygorem egzekucji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kary umownej za nieterminowe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wywiązywanie się ze zobowiązań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gwarancyjnych.</w:t>
            </w:r>
          </w:p>
          <w:p w14:paraId="5DD82E86" w14:textId="77777777" w:rsidR="002E6324" w:rsidRDefault="002E632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zwiększenie motywacji wykonawców do terminowej realizacji zamówień.</w:t>
            </w:r>
          </w:p>
          <w:p w14:paraId="21691F91" w14:textId="312493EF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23F74171" w14:textId="77777777" w:rsidTr="00071C70">
        <w:tc>
          <w:tcPr>
            <w:tcW w:w="3265" w:type="dxa"/>
          </w:tcPr>
          <w:p w14:paraId="6C0688E5" w14:textId="64422835" w:rsidR="006F0DBA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Niedostosowanie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warstwy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sprzętowej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dostarczonej jako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przetwarzanie w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chmurze</w:t>
            </w:r>
          </w:p>
        </w:tc>
        <w:tc>
          <w:tcPr>
            <w:tcW w:w="1697" w:type="dxa"/>
          </w:tcPr>
          <w:p w14:paraId="51BE9DAB" w14:textId="4D0869CE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18B3994B" w14:textId="7CF636E6" w:rsidR="006F0DBA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6FB8B4FD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precyzyjne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określenie potrzeb i wymagań w zakresie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technicznym i funkcjonalnym względem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dostawcy w ramach warunków udziału 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postępowaniu w SIWZ.</w:t>
            </w:r>
          </w:p>
          <w:p w14:paraId="096C4047" w14:textId="6DB9EC07" w:rsidR="002E6324" w:rsidRDefault="002E632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wybór wykonawc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 dopasowanej do potrzeb projektu infrastrukturze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3D0C8280" w14:textId="18EAA189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7E529D3C" w14:textId="77777777" w:rsidTr="00071C70">
        <w:tc>
          <w:tcPr>
            <w:tcW w:w="3265" w:type="dxa"/>
          </w:tcPr>
          <w:p w14:paraId="5A6C1DED" w14:textId="230CCDC4" w:rsidR="00D95CFD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Problemy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mplementacją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modułu AI</w:t>
            </w:r>
          </w:p>
        </w:tc>
        <w:tc>
          <w:tcPr>
            <w:tcW w:w="1697" w:type="dxa"/>
          </w:tcPr>
          <w:p w14:paraId="00C4E837" w14:textId="3B932207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1D0D34AA" w14:textId="707CC09D" w:rsidR="00D95CFD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196A1D5" w14:textId="77777777" w:rsidR="00033023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ryzyka- podnoszenie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kompetencji zespołu projektowego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niezbędnych dla tworzenia, wdrażania 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3302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korzystania z technologii opartych o AI.</w:t>
            </w:r>
          </w:p>
          <w:p w14:paraId="7CC08887" w14:textId="2BB4D618" w:rsidR="002E632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podniesienie kwalifikacji zespołu projektowego.</w:t>
            </w:r>
          </w:p>
          <w:p w14:paraId="1EAA1775" w14:textId="30BD359D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0441D27A" w14:textId="77777777" w:rsidTr="00071C70">
        <w:tc>
          <w:tcPr>
            <w:tcW w:w="3265" w:type="dxa"/>
          </w:tcPr>
          <w:p w14:paraId="4765CA60" w14:textId="01428BCC" w:rsidR="00D95CFD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sytuacji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ekonomicznej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kraju powodująca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znaczne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zmniejszen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środkó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przeznaczonych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 pokrycie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wkładu z budżetu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państwa</w:t>
            </w:r>
          </w:p>
        </w:tc>
        <w:tc>
          <w:tcPr>
            <w:tcW w:w="1697" w:type="dxa"/>
          </w:tcPr>
          <w:p w14:paraId="27119042" w14:textId="38B90BEE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67D7F41D" w14:textId="085DE1CD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0CB30111" w14:textId="77777777" w:rsidR="00D95CFD" w:rsidRDefault="00E7413A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100C9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Pozyskanie decyzji o </w:t>
            </w:r>
            <w:r w:rsidR="00CE311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zapewnieniu</w:t>
            </w:r>
            <w:r w:rsidR="00100C93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finansowania</w:t>
            </w:r>
            <w:r w:rsidR="00CE311F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3C626613" w14:textId="49AF77C7" w:rsidR="00A323A4" w:rsidRDefault="00A323A4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eliminacja ryzyka- zabezpieczenie finansowania projektu.</w:t>
            </w:r>
          </w:p>
          <w:p w14:paraId="62BCE8F4" w14:textId="4319819A" w:rsidR="00A323A4" w:rsidRPr="00A323A4" w:rsidRDefault="00A323A4" w:rsidP="00071C70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Pozyskano decyzję o zapewnieniu finansowania. Ryzyko zamknięte.</w:t>
            </w:r>
          </w:p>
        </w:tc>
      </w:tr>
      <w:tr w:rsidR="00071C70" w:rsidRPr="00071C70" w14:paraId="1C7137FB" w14:textId="77777777" w:rsidTr="00071C70">
        <w:tc>
          <w:tcPr>
            <w:tcW w:w="3265" w:type="dxa"/>
          </w:tcPr>
          <w:p w14:paraId="5F7836AD" w14:textId="2C14C80F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Vendorlock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związane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uzależnieniem się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 jednego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dostawcy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lub sprzętu,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może stanowić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zagrożenie dla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dalszego rozwoju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systemu.</w:t>
            </w:r>
          </w:p>
        </w:tc>
        <w:tc>
          <w:tcPr>
            <w:tcW w:w="1697" w:type="dxa"/>
          </w:tcPr>
          <w:p w14:paraId="21D67E2A" w14:textId="289405EA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3CB2D9A4" w14:textId="33D18812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552412EB" w14:textId="77777777" w:rsidR="00D95CFD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ryzyka- w dokumentacji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przetargowej i zawartej na jej podstawie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umowie wprowadzone zostaną zapisy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zobowiązujące Wykonawcę Platformy do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sienia na GIS jako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Zamawiającego wszelkich Praw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Własności Intelektualnej do Produktów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powstałych w wyniku realizacji umowy,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 najszerszym zakresie dozwolonym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przez prawo, bez jakichkolwiek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ograniczeń czasowych lub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terytorialnych. W przypadku, gdy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przeniesienie Praw Własności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Intelektualnej do Produktów będzie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dotyczyło autorskich praw majątkowych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praw pokrewnych, to obejmie ono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pola eksploatacji istniejące w chwili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przeniesienia.</w:t>
            </w:r>
          </w:p>
          <w:p w14:paraId="79201C2C" w14:textId="14AFEA34" w:rsidR="002E632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zabezpieczenie praw własności intelektualnej do produktów projektu.</w:t>
            </w:r>
          </w:p>
          <w:p w14:paraId="34542DE3" w14:textId="0C597A8D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3627964A" w14:textId="77777777" w:rsidTr="00071C70">
        <w:tc>
          <w:tcPr>
            <w:tcW w:w="3265" w:type="dxa"/>
          </w:tcPr>
          <w:p w14:paraId="1A0A102D" w14:textId="5FE5C23D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Technologie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 Ponieważ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produkty Projektu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mogą być oparte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 technologii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open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istnieje 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zaprzestania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rozwoju czy też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wsparcia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technologii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spowoduje brak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kompatybilności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innymi,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rozwijanymi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technologiami.</w:t>
            </w:r>
          </w:p>
        </w:tc>
        <w:tc>
          <w:tcPr>
            <w:tcW w:w="1697" w:type="dxa"/>
          </w:tcPr>
          <w:p w14:paraId="0F1B5130" w14:textId="239D6D2F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260652D0" w14:textId="29B8DBB5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4B54A79A" w14:textId="77777777" w:rsidR="00D95CFD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 - korzystanie z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oprogramowania Open Source w celu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wykonywania umowy, a zwłaszcza w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celu stworzenia Platformy, możliwe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będzie tylko wówczas, jeśli możliwe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będzie przeniesienie Praw Własności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Intelektualnej lub udzielenie licencji do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Produktów obejmie ono pola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eksploatacji istniejące w chwili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88098C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przeniesienia.</w:t>
            </w:r>
          </w:p>
          <w:p w14:paraId="63A4AD79" w14:textId="77777777" w:rsidR="002E6324" w:rsidRDefault="00A323A4" w:rsidP="002E63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zabezpieczenie praw własności intelektualnej do produktów projektu.</w:t>
            </w:r>
          </w:p>
          <w:p w14:paraId="5BA3CE20" w14:textId="1C0E1768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7C15F777" w14:textId="77777777" w:rsidTr="00071C70">
        <w:tc>
          <w:tcPr>
            <w:tcW w:w="3265" w:type="dxa"/>
          </w:tcPr>
          <w:p w14:paraId="6B07A875" w14:textId="3F72DBD7" w:rsidR="00093028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Bezpieczeństwo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 i ciągłość realizacji procesów</w:t>
            </w:r>
          </w:p>
        </w:tc>
        <w:tc>
          <w:tcPr>
            <w:tcW w:w="1697" w:type="dxa"/>
          </w:tcPr>
          <w:p w14:paraId="1FD68F6F" w14:textId="68901FD7" w:rsidR="00093028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054963C7" w14:textId="70E8E4BD" w:rsidR="00093028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42C4CD11" w14:textId="124CD8E1" w:rsidR="009E247E" w:rsidRPr="00A323A4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E247E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Ograniczanie ryzyka poprzez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9E247E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zapewnienie właściwej jakości i bezpieczeństwa oprogramowania przez:</w:t>
            </w:r>
          </w:p>
          <w:p w14:paraId="62C46F58" w14:textId="3BA50771" w:rsidR="009E247E" w:rsidRPr="00A323A4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1. stosowanie technik i narzędzi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kontroli jakości,</w:t>
            </w:r>
          </w:p>
          <w:p w14:paraId="2211B510" w14:textId="04D84D94" w:rsidR="009E247E" w:rsidRPr="00A323A4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2. bieżącą weryfikację jakości 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bezpieczeństwa przez Inżyniera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Kontraktu</w:t>
            </w:r>
          </w:p>
          <w:p w14:paraId="013AEEAB" w14:textId="77777777" w:rsidR="00093028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3. przeprowadzenie niezależnego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audytu bezpieczeństwa.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Podczas projektowania i implementacji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Platformy analiza czynników mających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wpływ na jej bezpieczeństwo takich jak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przed przeciążeniem,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aplikacji przed awarią,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zabezpieczenie przed nieuprawnionym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dostępem, kontrola uprawnień,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monitorowanie działania aplikacji,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zapewnienie ciągłości działania,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bezpieczeństwo ser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wera aplikacji, testy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bezpieczeństwa, badania akceptacyjne,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testy penetracyjne.</w:t>
            </w:r>
          </w:p>
          <w:p w14:paraId="2BE84F74" w14:textId="2D78A134" w:rsidR="002E6324" w:rsidRDefault="00A323A4" w:rsidP="002E63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zmniejszenie prawdopodobieństwa- </w:t>
            </w:r>
            <w:r w:rsidR="00056E47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potwierdzenie </w:t>
            </w:r>
            <w:r w:rsidR="00056E47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właściwej jakości i bezpieczeństwa oprogramowania</w:t>
            </w:r>
            <w:r w:rsidR="002E6324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6B858396" w14:textId="3569838C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</w:p>
        </w:tc>
      </w:tr>
      <w:tr w:rsidR="00071C70" w:rsidRPr="00071C70" w14:paraId="0446DF62" w14:textId="77777777" w:rsidTr="00071C70">
        <w:tc>
          <w:tcPr>
            <w:tcW w:w="3265" w:type="dxa"/>
          </w:tcPr>
          <w:p w14:paraId="7CA4A567" w14:textId="16BA6B0A" w:rsidR="003C0D73" w:rsidRPr="00071C70" w:rsidRDefault="00CA304F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Brak skutecznej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koordynacji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ziałań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projektowych</w:t>
            </w:r>
          </w:p>
        </w:tc>
        <w:tc>
          <w:tcPr>
            <w:tcW w:w="1697" w:type="dxa"/>
          </w:tcPr>
          <w:p w14:paraId="536A602B" w14:textId="6008D99A" w:rsidR="003C0D73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2F84649" w14:textId="319C21B2" w:rsidR="003C0D73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7F68CEF0" w14:textId="77777777" w:rsidR="00D51470" w:rsidRDefault="00E7413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Podejmowane działania zarządcze: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Oddziaływanie na ryzyko- rozwijanie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kwalifikacji zarządczych kadry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4C0B38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>uczestniczącej w zarządzaniu projektem.</w:t>
            </w:r>
            <w:r w:rsidR="00B673BD"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1FBCB71F" w14:textId="77777777" w:rsidR="00056E47" w:rsidRDefault="00056E47" w:rsidP="00056E4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Spodziewane efekty: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zmniejszenie prawdopodobieństwa- podniesienie kwalifikacji zespołu projektowego.</w:t>
            </w:r>
          </w:p>
          <w:p w14:paraId="79AD313D" w14:textId="34FE76E8" w:rsidR="00A323A4" w:rsidRPr="00A323A4" w:rsidRDefault="00A323A4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Zmiana w zakresie ryzyka:</w:t>
            </w:r>
            <w:r w:rsidRPr="00A323A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nie dotyczy – pierwszy okres sprawozdawczy.</w:t>
            </w:r>
            <w:bookmarkStart w:id="1" w:name="_GoBack"/>
            <w:bookmarkEnd w:id="1"/>
          </w:p>
        </w:tc>
      </w:tr>
    </w:tbl>
    <w:p w14:paraId="602B0C9F" w14:textId="75B76B3C" w:rsidR="007337C9" w:rsidRDefault="007337C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899D848" w14:textId="77777777" w:rsidR="007337C9" w:rsidRDefault="007337C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2F17F8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741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741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741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741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8FA8FE9" w:rsidR="0091332C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abezpieczenia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środków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finansowych na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utrzymanie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 po jego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08046506" w:rsidR="0091332C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3F3A260C" w:rsidR="0091332C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5CD12479" w:rsidR="0091332C" w:rsidRPr="00071C70" w:rsidRDefault="006A5CA3" w:rsidP="00071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zaplanowanie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rodków na utrzymanie systemu w</w:t>
            </w:r>
            <w:r w:rsidR="00071C7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budżecie GIS na kolejne lata</w:t>
            </w:r>
          </w:p>
        </w:tc>
      </w:tr>
      <w:tr w:rsidR="00071C70" w:rsidRPr="00071C70" w14:paraId="13155B2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8A4F70F" w14:textId="0D6F53B5" w:rsidR="00093028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Awarie systemu 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utrudnienie 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przekazywaniu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</w:t>
            </w:r>
          </w:p>
        </w:tc>
        <w:tc>
          <w:tcPr>
            <w:tcW w:w="1701" w:type="dxa"/>
            <w:shd w:val="clear" w:color="auto" w:fill="FFFFFF"/>
          </w:tcPr>
          <w:p w14:paraId="2BA6CC33" w14:textId="6DB88C55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8F47A86" w14:textId="545FFA6D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C7C0C49" w14:textId="200A289A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modułowe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0D30C9" w14:textId="5834D556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wprowadzanie systemu tak aby możliwe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było szybkie identyfikowanie awarii.</w:t>
            </w:r>
          </w:p>
        </w:tc>
      </w:tr>
      <w:tr w:rsidR="00071C70" w:rsidRPr="00071C70" w14:paraId="11EF4D2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78341B" w14:textId="02EAFAFC" w:rsidR="00093028" w:rsidRPr="00071C70" w:rsidRDefault="002867B8" w:rsidP="00A107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miejętności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efektywnego wykorzystywania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funkcjonalności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701" w:type="dxa"/>
            <w:shd w:val="clear" w:color="auto" w:fill="FFFFFF"/>
          </w:tcPr>
          <w:p w14:paraId="127394E7" w14:textId="5BEC86CC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7241205" w14:textId="011709FC" w:rsidR="00093028" w:rsidRPr="00071C70" w:rsidRDefault="002867B8" w:rsidP="00E741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73D27D6" w14:textId="77777777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 -</w:t>
            </w:r>
          </w:p>
          <w:p w14:paraId="3DD43B2F" w14:textId="6BDEDD37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przeprowadzenie szkoleń on-line z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zakresu użytkowania systemu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54902F7" w14:textId="77777777" w:rsidR="007168FB" w:rsidRPr="00071C70" w:rsidRDefault="007168FB" w:rsidP="007168FB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071C70">
        <w:rPr>
          <w:rFonts w:ascii="Arial" w:hAnsi="Arial" w:cs="Arial"/>
          <w:sz w:val="20"/>
          <w:szCs w:val="20"/>
        </w:rPr>
        <w:t>Nie dotyczy</w:t>
      </w:r>
    </w:p>
    <w:p w14:paraId="0FA2F07F" w14:textId="083C58E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6EF1695" w14:textId="52B96579" w:rsidR="008956F5" w:rsidRPr="00071C70" w:rsidRDefault="008956F5" w:rsidP="00071C70">
      <w:pPr>
        <w:spacing w:after="0"/>
        <w:rPr>
          <w:rFonts w:ascii="Arial" w:hAnsi="Arial" w:cs="Arial"/>
          <w:sz w:val="20"/>
          <w:szCs w:val="20"/>
        </w:rPr>
      </w:pPr>
      <w:r w:rsidRPr="00071C70">
        <w:rPr>
          <w:rFonts w:ascii="Arial" w:hAnsi="Arial" w:cs="Arial"/>
          <w:sz w:val="20"/>
          <w:szCs w:val="20"/>
        </w:rPr>
        <w:t>Przemysław Rzodkiewicz, Zastępca Dyrektora, Departa</w:t>
      </w:r>
      <w:r w:rsidR="00FC69CF" w:rsidRPr="00071C70">
        <w:rPr>
          <w:rFonts w:ascii="Arial" w:hAnsi="Arial" w:cs="Arial"/>
          <w:sz w:val="20"/>
          <w:szCs w:val="20"/>
        </w:rPr>
        <w:t xml:space="preserve">ment Bezpieczeństwa </w:t>
      </w:r>
      <w:r w:rsidR="0015249A" w:rsidRPr="00071C70">
        <w:rPr>
          <w:rFonts w:ascii="Arial" w:hAnsi="Arial" w:cs="Arial"/>
          <w:sz w:val="20"/>
          <w:szCs w:val="20"/>
        </w:rPr>
        <w:t>Żywności</w:t>
      </w:r>
      <w:r w:rsidR="00FC69CF" w:rsidRPr="00071C70">
        <w:rPr>
          <w:rFonts w:ascii="Arial" w:hAnsi="Arial" w:cs="Arial"/>
          <w:sz w:val="20"/>
          <w:szCs w:val="20"/>
        </w:rPr>
        <w:t xml:space="preserve"> i Żywienia</w:t>
      </w:r>
      <w:r w:rsidRPr="00071C70">
        <w:rPr>
          <w:rFonts w:ascii="Arial" w:hAnsi="Arial" w:cs="Arial"/>
          <w:sz w:val="20"/>
          <w:szCs w:val="20"/>
        </w:rPr>
        <w:t xml:space="preserve">, </w:t>
      </w:r>
      <w:r w:rsidRPr="00071C70">
        <w:rPr>
          <w:rFonts w:ascii="Arial" w:hAnsi="Arial" w:cs="Arial"/>
          <w:sz w:val="20"/>
          <w:szCs w:val="20"/>
        </w:rPr>
        <w:br/>
      </w:r>
      <w:r w:rsidR="00FC69CF" w:rsidRPr="00071C70">
        <w:rPr>
          <w:rFonts w:ascii="Arial" w:hAnsi="Arial" w:cs="Arial"/>
          <w:sz w:val="20"/>
          <w:szCs w:val="20"/>
        </w:rPr>
        <w:t>Główny Inspektorat Sanitarny</w:t>
      </w:r>
    </w:p>
    <w:p w14:paraId="674DE7D6" w14:textId="5CE1210A" w:rsidR="00FC69CF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tel. </w:t>
      </w:r>
      <w:proofErr w:type="spellStart"/>
      <w:r w:rsidRPr="00071C70">
        <w:rPr>
          <w:rFonts w:ascii="Arial" w:hAnsi="Arial" w:cs="Arial"/>
          <w:sz w:val="20"/>
          <w:szCs w:val="20"/>
          <w:lang w:val="en-GB"/>
        </w:rPr>
        <w:t>kom</w:t>
      </w:r>
      <w:proofErr w:type="spellEnd"/>
      <w:r w:rsidRPr="00071C70">
        <w:rPr>
          <w:rFonts w:ascii="Arial" w:hAnsi="Arial" w:cs="Arial"/>
          <w:sz w:val="20"/>
          <w:szCs w:val="20"/>
          <w:lang w:val="en-GB"/>
        </w:rPr>
        <w:t>. +48</w:t>
      </w:r>
      <w:r w:rsidR="00BF57D0" w:rsidRPr="00071C70">
        <w:rPr>
          <w:rFonts w:ascii="Arial" w:hAnsi="Arial" w:cs="Arial"/>
          <w:sz w:val="20"/>
          <w:szCs w:val="20"/>
          <w:lang w:val="en-GB"/>
        </w:rPr>
        <w:t> 538</w:t>
      </w:r>
      <w:r w:rsidR="0015249A" w:rsidRPr="00071C70">
        <w:rPr>
          <w:rFonts w:ascii="Arial" w:hAnsi="Arial" w:cs="Arial"/>
          <w:sz w:val="20"/>
          <w:szCs w:val="20"/>
          <w:lang w:val="en-GB"/>
        </w:rPr>
        <w:t> </w:t>
      </w:r>
      <w:r w:rsidR="00BF57D0" w:rsidRPr="00071C70">
        <w:rPr>
          <w:rFonts w:ascii="Arial" w:hAnsi="Arial" w:cs="Arial"/>
          <w:sz w:val="20"/>
          <w:szCs w:val="20"/>
          <w:lang w:val="en-GB"/>
        </w:rPr>
        <w:t>895</w:t>
      </w:r>
      <w:r w:rsidR="0015249A" w:rsidRPr="00071C70">
        <w:rPr>
          <w:rFonts w:ascii="Arial" w:hAnsi="Arial" w:cs="Arial"/>
          <w:sz w:val="20"/>
          <w:szCs w:val="20"/>
          <w:lang w:val="en-GB"/>
        </w:rPr>
        <w:t xml:space="preserve"> 188</w:t>
      </w:r>
    </w:p>
    <w:p w14:paraId="5ACC80B6" w14:textId="57201F96" w:rsidR="00A92887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e-mail: </w:t>
      </w:r>
      <w:hyperlink r:id="rId8" w:history="1">
        <w:r w:rsidR="00CD6FF6" w:rsidRPr="00071C70">
          <w:rPr>
            <w:rStyle w:val="Hipercze"/>
            <w:rFonts w:ascii="Arial" w:hAnsi="Arial" w:cs="Arial"/>
            <w:sz w:val="20"/>
            <w:szCs w:val="20"/>
            <w:lang w:val="en-GB"/>
          </w:rPr>
          <w:t>p.rzodkiewicz@gis.gov.pl</w:t>
        </w:r>
      </w:hyperlink>
    </w:p>
    <w:sectPr w:rsidR="00A92887" w:rsidRPr="00071C7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73ED9" w14:textId="77777777" w:rsidR="00E7413A" w:rsidRDefault="00E7413A" w:rsidP="00BB2420">
      <w:pPr>
        <w:spacing w:after="0" w:line="240" w:lineRule="auto"/>
      </w:pPr>
      <w:r>
        <w:separator/>
      </w:r>
    </w:p>
  </w:endnote>
  <w:endnote w:type="continuationSeparator" w:id="0">
    <w:p w14:paraId="767C3F8D" w14:textId="77777777" w:rsidR="00E7413A" w:rsidRDefault="00E7413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7B2AA93A" w:rsidR="00E7413A" w:rsidRDefault="00E741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6E4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E7413A" w:rsidRDefault="00E741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544BA" w14:textId="77777777" w:rsidR="00E7413A" w:rsidRDefault="00E7413A" w:rsidP="00BB2420">
      <w:pPr>
        <w:spacing w:after="0" w:line="240" w:lineRule="auto"/>
      </w:pPr>
      <w:r>
        <w:separator/>
      </w:r>
    </w:p>
  </w:footnote>
  <w:footnote w:type="continuationSeparator" w:id="0">
    <w:p w14:paraId="28FFE08A" w14:textId="77777777" w:rsidR="00E7413A" w:rsidRDefault="00E7413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7413A" w:rsidRDefault="00E741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A2981"/>
    <w:multiLevelType w:val="hybridMultilevel"/>
    <w:tmpl w:val="D1901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wNDA2NrU0sDCwNDZQ0lEKTi0uzszPAykwqQUAsnpYnCwAAAA="/>
  </w:docVars>
  <w:rsids>
    <w:rsidRoot w:val="005A1B30"/>
    <w:rsid w:val="00003CB0"/>
    <w:rsid w:val="00006E59"/>
    <w:rsid w:val="0001545A"/>
    <w:rsid w:val="00030911"/>
    <w:rsid w:val="00033023"/>
    <w:rsid w:val="00036ABD"/>
    <w:rsid w:val="00043DD9"/>
    <w:rsid w:val="00044D68"/>
    <w:rsid w:val="00047D9D"/>
    <w:rsid w:val="00056E47"/>
    <w:rsid w:val="0006403E"/>
    <w:rsid w:val="00070663"/>
    <w:rsid w:val="00071880"/>
    <w:rsid w:val="00071C70"/>
    <w:rsid w:val="00084E5B"/>
    <w:rsid w:val="00087231"/>
    <w:rsid w:val="00090B6F"/>
    <w:rsid w:val="00093028"/>
    <w:rsid w:val="00095944"/>
    <w:rsid w:val="000A1DFB"/>
    <w:rsid w:val="000A2F32"/>
    <w:rsid w:val="000A3938"/>
    <w:rsid w:val="000A5435"/>
    <w:rsid w:val="000B059E"/>
    <w:rsid w:val="000B3E49"/>
    <w:rsid w:val="000B74E8"/>
    <w:rsid w:val="000D385F"/>
    <w:rsid w:val="000E0060"/>
    <w:rsid w:val="000E1828"/>
    <w:rsid w:val="000E2451"/>
    <w:rsid w:val="000E4BF8"/>
    <w:rsid w:val="000F20A9"/>
    <w:rsid w:val="000F307B"/>
    <w:rsid w:val="000F30B9"/>
    <w:rsid w:val="00100893"/>
    <w:rsid w:val="00100C93"/>
    <w:rsid w:val="0011693F"/>
    <w:rsid w:val="00122251"/>
    <w:rsid w:val="00122388"/>
    <w:rsid w:val="00123599"/>
    <w:rsid w:val="00124C3D"/>
    <w:rsid w:val="001309CA"/>
    <w:rsid w:val="00134D2B"/>
    <w:rsid w:val="00141A92"/>
    <w:rsid w:val="001441D4"/>
    <w:rsid w:val="00145E84"/>
    <w:rsid w:val="0015102C"/>
    <w:rsid w:val="0015249A"/>
    <w:rsid w:val="00153381"/>
    <w:rsid w:val="00176FBB"/>
    <w:rsid w:val="0018042D"/>
    <w:rsid w:val="00181E97"/>
    <w:rsid w:val="00182A08"/>
    <w:rsid w:val="00187FC0"/>
    <w:rsid w:val="001A2EF2"/>
    <w:rsid w:val="001B5EDC"/>
    <w:rsid w:val="001C2D74"/>
    <w:rsid w:val="001C7FAC"/>
    <w:rsid w:val="001D167C"/>
    <w:rsid w:val="001E0CAC"/>
    <w:rsid w:val="001E16A3"/>
    <w:rsid w:val="001E1DEA"/>
    <w:rsid w:val="001E7199"/>
    <w:rsid w:val="001F24A0"/>
    <w:rsid w:val="001F4F9A"/>
    <w:rsid w:val="001F67EC"/>
    <w:rsid w:val="002026C9"/>
    <w:rsid w:val="0020330A"/>
    <w:rsid w:val="00210E60"/>
    <w:rsid w:val="00237279"/>
    <w:rsid w:val="00240D69"/>
    <w:rsid w:val="00241B5E"/>
    <w:rsid w:val="00247663"/>
    <w:rsid w:val="00252087"/>
    <w:rsid w:val="00263392"/>
    <w:rsid w:val="00265194"/>
    <w:rsid w:val="00276C00"/>
    <w:rsid w:val="00277E09"/>
    <w:rsid w:val="002825F1"/>
    <w:rsid w:val="00286412"/>
    <w:rsid w:val="002867B8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1E78"/>
    <w:rsid w:val="002E2FAF"/>
    <w:rsid w:val="002E6324"/>
    <w:rsid w:val="002F29A3"/>
    <w:rsid w:val="0030196F"/>
    <w:rsid w:val="00302775"/>
    <w:rsid w:val="00304D04"/>
    <w:rsid w:val="00310D8E"/>
    <w:rsid w:val="003131AE"/>
    <w:rsid w:val="003221F2"/>
    <w:rsid w:val="00322614"/>
    <w:rsid w:val="00334A24"/>
    <w:rsid w:val="003410FE"/>
    <w:rsid w:val="003508E7"/>
    <w:rsid w:val="003542F1"/>
    <w:rsid w:val="00356A3E"/>
    <w:rsid w:val="003642B8"/>
    <w:rsid w:val="003702BA"/>
    <w:rsid w:val="00386DC9"/>
    <w:rsid w:val="00392919"/>
    <w:rsid w:val="003946AC"/>
    <w:rsid w:val="00396C84"/>
    <w:rsid w:val="003A4115"/>
    <w:rsid w:val="003B5B7A"/>
    <w:rsid w:val="003C0D73"/>
    <w:rsid w:val="003C47A4"/>
    <w:rsid w:val="003C7325"/>
    <w:rsid w:val="003C7A59"/>
    <w:rsid w:val="003D7DD0"/>
    <w:rsid w:val="003E3144"/>
    <w:rsid w:val="00405EA4"/>
    <w:rsid w:val="0041034F"/>
    <w:rsid w:val="004118A3"/>
    <w:rsid w:val="00412A56"/>
    <w:rsid w:val="00420B82"/>
    <w:rsid w:val="00423A26"/>
    <w:rsid w:val="00425046"/>
    <w:rsid w:val="004350B8"/>
    <w:rsid w:val="00444AAB"/>
    <w:rsid w:val="00450089"/>
    <w:rsid w:val="00466EB1"/>
    <w:rsid w:val="004729D1"/>
    <w:rsid w:val="00473B58"/>
    <w:rsid w:val="004809EF"/>
    <w:rsid w:val="00494321"/>
    <w:rsid w:val="004B4AE1"/>
    <w:rsid w:val="004C0B38"/>
    <w:rsid w:val="004C1D48"/>
    <w:rsid w:val="004D1048"/>
    <w:rsid w:val="004D269E"/>
    <w:rsid w:val="004D65CA"/>
    <w:rsid w:val="004F6E89"/>
    <w:rsid w:val="00504B06"/>
    <w:rsid w:val="005076A1"/>
    <w:rsid w:val="00513213"/>
    <w:rsid w:val="00517F12"/>
    <w:rsid w:val="0052102C"/>
    <w:rsid w:val="005212C8"/>
    <w:rsid w:val="00521CD7"/>
    <w:rsid w:val="00524E6C"/>
    <w:rsid w:val="005332D6"/>
    <w:rsid w:val="00544DFE"/>
    <w:rsid w:val="005548F2"/>
    <w:rsid w:val="005734CE"/>
    <w:rsid w:val="00581AAA"/>
    <w:rsid w:val="005840AB"/>
    <w:rsid w:val="00586664"/>
    <w:rsid w:val="00593290"/>
    <w:rsid w:val="005A0E33"/>
    <w:rsid w:val="005A12F7"/>
    <w:rsid w:val="005A1B30"/>
    <w:rsid w:val="005B1A32"/>
    <w:rsid w:val="005B7464"/>
    <w:rsid w:val="005C0469"/>
    <w:rsid w:val="005C6116"/>
    <w:rsid w:val="005C77BB"/>
    <w:rsid w:val="005D17CF"/>
    <w:rsid w:val="005D24AF"/>
    <w:rsid w:val="005D5AAB"/>
    <w:rsid w:val="005D6E12"/>
    <w:rsid w:val="005E0ED8"/>
    <w:rsid w:val="005E3BBE"/>
    <w:rsid w:val="005E6ABD"/>
    <w:rsid w:val="005F41FA"/>
    <w:rsid w:val="00600AE4"/>
    <w:rsid w:val="006054AA"/>
    <w:rsid w:val="0060779A"/>
    <w:rsid w:val="00617CF0"/>
    <w:rsid w:val="0062054D"/>
    <w:rsid w:val="006334BF"/>
    <w:rsid w:val="00635A54"/>
    <w:rsid w:val="00661A62"/>
    <w:rsid w:val="00672B5F"/>
    <w:rsid w:val="006731D9"/>
    <w:rsid w:val="006822BC"/>
    <w:rsid w:val="006948D3"/>
    <w:rsid w:val="006A0E12"/>
    <w:rsid w:val="006A5CA3"/>
    <w:rsid w:val="006A60AA"/>
    <w:rsid w:val="006B034F"/>
    <w:rsid w:val="006B5117"/>
    <w:rsid w:val="006C78AE"/>
    <w:rsid w:val="006E06FE"/>
    <w:rsid w:val="006E0CFA"/>
    <w:rsid w:val="006E6205"/>
    <w:rsid w:val="006F0DBA"/>
    <w:rsid w:val="00701800"/>
    <w:rsid w:val="00704D5D"/>
    <w:rsid w:val="007111A9"/>
    <w:rsid w:val="007168FB"/>
    <w:rsid w:val="00725708"/>
    <w:rsid w:val="007337C9"/>
    <w:rsid w:val="0073691A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77B9"/>
    <w:rsid w:val="007C2503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4DD"/>
    <w:rsid w:val="00803FBE"/>
    <w:rsid w:val="00805178"/>
    <w:rsid w:val="0080530D"/>
    <w:rsid w:val="00806134"/>
    <w:rsid w:val="00830B70"/>
    <w:rsid w:val="00840749"/>
    <w:rsid w:val="00847A84"/>
    <w:rsid w:val="0087452F"/>
    <w:rsid w:val="00875528"/>
    <w:rsid w:val="0088098C"/>
    <w:rsid w:val="00884686"/>
    <w:rsid w:val="008956F5"/>
    <w:rsid w:val="008A332F"/>
    <w:rsid w:val="008A52F6"/>
    <w:rsid w:val="008A73AC"/>
    <w:rsid w:val="008C4BCD"/>
    <w:rsid w:val="008C6721"/>
    <w:rsid w:val="008C7325"/>
    <w:rsid w:val="008D2436"/>
    <w:rsid w:val="008D3826"/>
    <w:rsid w:val="008F2D9B"/>
    <w:rsid w:val="008F67EE"/>
    <w:rsid w:val="00907F6D"/>
    <w:rsid w:val="00911190"/>
    <w:rsid w:val="0091332C"/>
    <w:rsid w:val="009256F2"/>
    <w:rsid w:val="00931F5A"/>
    <w:rsid w:val="00933BEC"/>
    <w:rsid w:val="009347B8"/>
    <w:rsid w:val="00936729"/>
    <w:rsid w:val="0095183B"/>
    <w:rsid w:val="00952126"/>
    <w:rsid w:val="00952617"/>
    <w:rsid w:val="00962DC4"/>
    <w:rsid w:val="009663A6"/>
    <w:rsid w:val="00971267"/>
    <w:rsid w:val="00971A40"/>
    <w:rsid w:val="00976434"/>
    <w:rsid w:val="00992EA3"/>
    <w:rsid w:val="009967CA"/>
    <w:rsid w:val="009A17FF"/>
    <w:rsid w:val="009B2347"/>
    <w:rsid w:val="009B4423"/>
    <w:rsid w:val="009C6140"/>
    <w:rsid w:val="009D2FA4"/>
    <w:rsid w:val="009D7D8A"/>
    <w:rsid w:val="009E247E"/>
    <w:rsid w:val="009E4C67"/>
    <w:rsid w:val="009F09BF"/>
    <w:rsid w:val="009F1DC8"/>
    <w:rsid w:val="009F437E"/>
    <w:rsid w:val="00A0046E"/>
    <w:rsid w:val="00A10723"/>
    <w:rsid w:val="00A11788"/>
    <w:rsid w:val="00A273D7"/>
    <w:rsid w:val="00A30847"/>
    <w:rsid w:val="00A323A4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DAC"/>
    <w:rsid w:val="00AA4CAB"/>
    <w:rsid w:val="00AA51AD"/>
    <w:rsid w:val="00AA730D"/>
    <w:rsid w:val="00AB2E01"/>
    <w:rsid w:val="00AB516E"/>
    <w:rsid w:val="00AB77BA"/>
    <w:rsid w:val="00AC44BC"/>
    <w:rsid w:val="00AC7E26"/>
    <w:rsid w:val="00AD16FE"/>
    <w:rsid w:val="00AD3C44"/>
    <w:rsid w:val="00AD45BB"/>
    <w:rsid w:val="00AE1643"/>
    <w:rsid w:val="00AE3A6C"/>
    <w:rsid w:val="00AF09B8"/>
    <w:rsid w:val="00AF4F18"/>
    <w:rsid w:val="00AF567D"/>
    <w:rsid w:val="00B01983"/>
    <w:rsid w:val="00B06A64"/>
    <w:rsid w:val="00B17709"/>
    <w:rsid w:val="00B23828"/>
    <w:rsid w:val="00B27EE9"/>
    <w:rsid w:val="00B32F44"/>
    <w:rsid w:val="00B41415"/>
    <w:rsid w:val="00B440C3"/>
    <w:rsid w:val="00B46B7D"/>
    <w:rsid w:val="00B50560"/>
    <w:rsid w:val="00B5532F"/>
    <w:rsid w:val="00B57BCE"/>
    <w:rsid w:val="00B64B3C"/>
    <w:rsid w:val="00B67232"/>
    <w:rsid w:val="00B673BD"/>
    <w:rsid w:val="00B673C6"/>
    <w:rsid w:val="00B72772"/>
    <w:rsid w:val="00B74859"/>
    <w:rsid w:val="00B77705"/>
    <w:rsid w:val="00B87D3D"/>
    <w:rsid w:val="00B91243"/>
    <w:rsid w:val="00BA481C"/>
    <w:rsid w:val="00BB059E"/>
    <w:rsid w:val="00BB18FD"/>
    <w:rsid w:val="00BB2420"/>
    <w:rsid w:val="00BB3748"/>
    <w:rsid w:val="00BB49AC"/>
    <w:rsid w:val="00BB5ACE"/>
    <w:rsid w:val="00BC1BD2"/>
    <w:rsid w:val="00BC304D"/>
    <w:rsid w:val="00BC6BE4"/>
    <w:rsid w:val="00BE47CD"/>
    <w:rsid w:val="00BE5BF9"/>
    <w:rsid w:val="00BF57D0"/>
    <w:rsid w:val="00C013F5"/>
    <w:rsid w:val="00C1106C"/>
    <w:rsid w:val="00C133C1"/>
    <w:rsid w:val="00C1647B"/>
    <w:rsid w:val="00C202DB"/>
    <w:rsid w:val="00C26361"/>
    <w:rsid w:val="00C302F1"/>
    <w:rsid w:val="00C3575F"/>
    <w:rsid w:val="00C42AEA"/>
    <w:rsid w:val="00C47D8C"/>
    <w:rsid w:val="00C50CB8"/>
    <w:rsid w:val="00C50D68"/>
    <w:rsid w:val="00C57985"/>
    <w:rsid w:val="00C6751B"/>
    <w:rsid w:val="00C8758D"/>
    <w:rsid w:val="00C90A16"/>
    <w:rsid w:val="00CA304F"/>
    <w:rsid w:val="00CA516B"/>
    <w:rsid w:val="00CB715E"/>
    <w:rsid w:val="00CC7E21"/>
    <w:rsid w:val="00CD5718"/>
    <w:rsid w:val="00CD6FF6"/>
    <w:rsid w:val="00CE311F"/>
    <w:rsid w:val="00CE74F9"/>
    <w:rsid w:val="00CE7777"/>
    <w:rsid w:val="00CF2E64"/>
    <w:rsid w:val="00D02F6D"/>
    <w:rsid w:val="00D22C21"/>
    <w:rsid w:val="00D23C25"/>
    <w:rsid w:val="00D251F1"/>
    <w:rsid w:val="00D25CFE"/>
    <w:rsid w:val="00D308A9"/>
    <w:rsid w:val="00D30D48"/>
    <w:rsid w:val="00D35093"/>
    <w:rsid w:val="00D4607F"/>
    <w:rsid w:val="00D51470"/>
    <w:rsid w:val="00D57025"/>
    <w:rsid w:val="00D57765"/>
    <w:rsid w:val="00D77F50"/>
    <w:rsid w:val="00D859F4"/>
    <w:rsid w:val="00D85A52"/>
    <w:rsid w:val="00D86FEC"/>
    <w:rsid w:val="00D95CFD"/>
    <w:rsid w:val="00D966FF"/>
    <w:rsid w:val="00DA34DF"/>
    <w:rsid w:val="00DB1E3A"/>
    <w:rsid w:val="00DB69FD"/>
    <w:rsid w:val="00DC0A8A"/>
    <w:rsid w:val="00DC1705"/>
    <w:rsid w:val="00DC39A9"/>
    <w:rsid w:val="00DC4C79"/>
    <w:rsid w:val="00DC540E"/>
    <w:rsid w:val="00DD1E33"/>
    <w:rsid w:val="00DE6249"/>
    <w:rsid w:val="00DE731D"/>
    <w:rsid w:val="00E0076D"/>
    <w:rsid w:val="00E11B44"/>
    <w:rsid w:val="00E15DEB"/>
    <w:rsid w:val="00E1688D"/>
    <w:rsid w:val="00E203EB"/>
    <w:rsid w:val="00E35401"/>
    <w:rsid w:val="00E3719E"/>
    <w:rsid w:val="00E375DB"/>
    <w:rsid w:val="00E42938"/>
    <w:rsid w:val="00E47508"/>
    <w:rsid w:val="00E55EB0"/>
    <w:rsid w:val="00E57BB7"/>
    <w:rsid w:val="00E61CB0"/>
    <w:rsid w:val="00E67ABD"/>
    <w:rsid w:val="00E71256"/>
    <w:rsid w:val="00E71BCF"/>
    <w:rsid w:val="00E7413A"/>
    <w:rsid w:val="00E81D7C"/>
    <w:rsid w:val="00E83FA4"/>
    <w:rsid w:val="00E86020"/>
    <w:rsid w:val="00E938E4"/>
    <w:rsid w:val="00E97220"/>
    <w:rsid w:val="00EA0B4F"/>
    <w:rsid w:val="00EB00AB"/>
    <w:rsid w:val="00EC2AFC"/>
    <w:rsid w:val="00EF411B"/>
    <w:rsid w:val="00EF50D0"/>
    <w:rsid w:val="00F0380C"/>
    <w:rsid w:val="00F06E56"/>
    <w:rsid w:val="00F138F7"/>
    <w:rsid w:val="00F2008A"/>
    <w:rsid w:val="00F21D9E"/>
    <w:rsid w:val="00F25348"/>
    <w:rsid w:val="00F37569"/>
    <w:rsid w:val="00F45506"/>
    <w:rsid w:val="00F57F95"/>
    <w:rsid w:val="00F60062"/>
    <w:rsid w:val="00F613CC"/>
    <w:rsid w:val="00F74246"/>
    <w:rsid w:val="00F76777"/>
    <w:rsid w:val="00F8005E"/>
    <w:rsid w:val="00F83F2F"/>
    <w:rsid w:val="00F86555"/>
    <w:rsid w:val="00F86C58"/>
    <w:rsid w:val="00F9554E"/>
    <w:rsid w:val="00FC30C7"/>
    <w:rsid w:val="00FC3B03"/>
    <w:rsid w:val="00FC69C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956F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6F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zodkiewicz@gi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41983-935E-4315-B2F1-EB9D243D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1986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2020-11-18T09:01:00Z</dcterms:created>
  <dcterms:modified xsi:type="dcterms:W3CDTF">2020-11-18T10:28:00Z</dcterms:modified>
</cp:coreProperties>
</file>